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jc w:val="center"/>
        <w:rPr>
          <w:rFonts w:ascii="微软雅黑" w:hAnsi="微软雅黑" w:eastAsia="微软雅黑"/>
          <w:b/>
          <w:sz w:val="36"/>
          <w:szCs w:val="36"/>
        </w:rPr>
      </w:pPr>
      <w:bookmarkStart w:id="0" w:name="_Toc10100"/>
      <w:r>
        <w:rPr>
          <w:rFonts w:hint="eastAsia" w:ascii="微软雅黑" w:hAnsi="微软雅黑" w:eastAsia="微软雅黑"/>
          <w:b/>
          <w:sz w:val="36"/>
          <w:szCs w:val="36"/>
        </w:rPr>
        <w:t>14KW</w:t>
      </w:r>
      <w:bookmarkStart w:id="21" w:name="_GoBack"/>
      <w:bookmarkEnd w:id="21"/>
      <w:r>
        <w:rPr>
          <w:rFonts w:hint="eastAsia" w:ascii="微软雅黑" w:hAnsi="微软雅黑" w:eastAsia="微软雅黑"/>
          <w:b/>
          <w:sz w:val="36"/>
          <w:szCs w:val="36"/>
        </w:rPr>
        <w:t>单相双枪交流充电桩</w:t>
      </w:r>
      <w:bookmarkEnd w:id="0"/>
      <w:bookmarkStart w:id="1" w:name="_Toc19655"/>
      <w:r>
        <w:rPr>
          <w:rFonts w:hint="eastAsia" w:ascii="微软雅黑" w:hAnsi="微软雅黑" w:eastAsia="微软雅黑"/>
          <w:b/>
          <w:sz w:val="36"/>
          <w:szCs w:val="36"/>
        </w:rPr>
        <w:t>使用说明书</w:t>
      </w:r>
      <w:bookmarkEnd w:id="1"/>
    </w:p>
    <w:p>
      <w:pPr>
        <w:pStyle w:val="13"/>
        <w:rPr>
          <w:rFonts w:hint="eastAsia" w:eastAsia="黑体"/>
          <w:b/>
          <w:color w:val="211D1E"/>
          <w:sz w:val="18"/>
          <w:szCs w:val="18"/>
          <w:lang w:eastAsia="zh-CN"/>
        </w:rPr>
      </w:pPr>
    </w:p>
    <w:p>
      <w:pPr>
        <w:pStyle w:val="13"/>
        <w:jc w:val="center"/>
        <w:rPr>
          <w:b/>
          <w:color w:val="211D1E"/>
          <w:sz w:val="18"/>
          <w:szCs w:val="18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00350" cy="4289425"/>
            <wp:effectExtent l="0" t="0" r="0" b="15875"/>
            <wp:docPr id="10" name="图片 10" descr="C:\Users\Administrator\Desktop\094ad7218036d54ca9db9ee4b8b8fb9.jpg094ad7218036d54ca9db9ee4b8b8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094ad7218036d54ca9db9ee4b8b8fb9.jpg094ad7218036d54ca9db9ee4b8b8fb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pStyle w:val="8"/>
        <w:tabs>
          <w:tab w:val="right" w:leader="dot" w:pos="9070"/>
        </w:tabs>
      </w:pPr>
      <w:r>
        <w:fldChar w:fldCharType="begin"/>
      </w:r>
      <w:r>
        <w:instrText xml:space="preserve">TOC \o "1-3" \u 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Cs w:val="18"/>
        </w:rPr>
        <w:t>第一章 产品介绍</w:t>
      </w:r>
      <w:r>
        <w:tab/>
      </w:r>
      <w:r>
        <w:fldChar w:fldCharType="begin"/>
      </w:r>
      <w:r>
        <w:instrText xml:space="preserve"> PAGEREF _Toc16687 \h </w:instrText>
      </w:r>
      <w:r>
        <w:fldChar w:fldCharType="separate"/>
      </w:r>
      <w:r>
        <w:t>2</w:t>
      </w:r>
      <w:r>
        <w:fldChar w:fldCharType="end"/>
      </w:r>
    </w:p>
    <w:p>
      <w:pPr>
        <w:pStyle w:val="9"/>
        <w:tabs>
          <w:tab w:val="right" w:leader="dot" w:pos="9070"/>
        </w:tabs>
      </w:pPr>
      <w:r>
        <w:rPr>
          <w:rFonts w:hint="eastAsia" w:asciiTheme="minorEastAsia" w:hAnsiTheme="minorEastAsia" w:eastAsiaTheme="minorEastAsia" w:cstheme="minorEastAsia"/>
          <w:bCs/>
          <w:szCs w:val="18"/>
        </w:rPr>
        <w:t>1.1产品介绍</w:t>
      </w:r>
      <w:r>
        <w:tab/>
      </w:r>
      <w:r>
        <w:fldChar w:fldCharType="begin"/>
      </w:r>
      <w:r>
        <w:instrText xml:space="preserve"> PAGEREF _Toc8220 \h </w:instrText>
      </w:r>
      <w:r>
        <w:fldChar w:fldCharType="separate"/>
      </w:r>
      <w:r>
        <w:t>2</w:t>
      </w:r>
      <w:r>
        <w:fldChar w:fldCharType="end"/>
      </w:r>
    </w:p>
    <w:p>
      <w:pPr>
        <w:pStyle w:val="9"/>
        <w:tabs>
          <w:tab w:val="right" w:leader="dot" w:pos="9070"/>
        </w:tabs>
      </w:pPr>
      <w:r>
        <w:rPr>
          <w:rFonts w:hint="eastAsia" w:asciiTheme="minorEastAsia" w:hAnsiTheme="minorEastAsia" w:eastAsiaTheme="minorEastAsia" w:cstheme="minorEastAsia"/>
          <w:szCs w:val="18"/>
        </w:rPr>
        <w:t>1.2产品原理构图</w:t>
      </w:r>
      <w:r>
        <w:tab/>
      </w:r>
      <w:r>
        <w:fldChar w:fldCharType="begin"/>
      </w:r>
      <w:r>
        <w:instrText xml:space="preserve"> PAGEREF _Toc5130 \h </w:instrText>
      </w:r>
      <w:r>
        <w:fldChar w:fldCharType="separate"/>
      </w:r>
      <w:r>
        <w:t>3</w:t>
      </w:r>
      <w:r>
        <w:fldChar w:fldCharType="end"/>
      </w:r>
    </w:p>
    <w:p>
      <w:pPr>
        <w:pStyle w:val="9"/>
        <w:tabs>
          <w:tab w:val="right" w:leader="dot" w:pos="9070"/>
        </w:tabs>
      </w:pPr>
      <w:r>
        <w:rPr>
          <w:rFonts w:hint="eastAsia" w:asciiTheme="minorEastAsia" w:hAnsiTheme="minorEastAsia" w:eastAsiaTheme="minorEastAsia" w:cstheme="minorEastAsia"/>
          <w:bCs/>
          <w:szCs w:val="18"/>
        </w:rPr>
        <w:t>1.3主要参数说明</w:t>
      </w:r>
      <w:r>
        <w:tab/>
      </w:r>
      <w:r>
        <w:fldChar w:fldCharType="begin"/>
      </w:r>
      <w:r>
        <w:instrText xml:space="preserve"> PAGEREF _Toc12049 \h </w:instrText>
      </w:r>
      <w:r>
        <w:fldChar w:fldCharType="separate"/>
      </w:r>
      <w:r>
        <w:t>3</w:t>
      </w:r>
      <w:r>
        <w:fldChar w:fldCharType="end"/>
      </w:r>
    </w:p>
    <w:p>
      <w:pPr>
        <w:pStyle w:val="9"/>
        <w:tabs>
          <w:tab w:val="right" w:leader="dot" w:pos="9070"/>
        </w:tabs>
      </w:pPr>
      <w:r>
        <w:rPr>
          <w:rFonts w:hint="eastAsia" w:asciiTheme="minorEastAsia" w:hAnsiTheme="minorEastAsia" w:eastAsiaTheme="minorEastAsia" w:cstheme="minorEastAsia"/>
          <w:bCs/>
          <w:szCs w:val="18"/>
        </w:rPr>
        <w:t>1.4产品特点</w:t>
      </w:r>
      <w:r>
        <w:tab/>
      </w:r>
      <w:r>
        <w:fldChar w:fldCharType="begin"/>
      </w:r>
      <w:r>
        <w:instrText xml:space="preserve"> PAGEREF _Toc16061 \h </w:instrText>
      </w:r>
      <w:r>
        <w:fldChar w:fldCharType="separate"/>
      </w:r>
      <w:r>
        <w:t>4</w:t>
      </w:r>
      <w:r>
        <w:fldChar w:fldCharType="end"/>
      </w:r>
    </w:p>
    <w:p>
      <w:pPr>
        <w:pStyle w:val="9"/>
        <w:tabs>
          <w:tab w:val="right" w:leader="dot" w:pos="9070"/>
        </w:tabs>
      </w:pPr>
      <w:r>
        <w:rPr>
          <w:rFonts w:hint="eastAsia" w:asciiTheme="minorEastAsia" w:hAnsiTheme="minorEastAsia" w:eastAsiaTheme="minorEastAsia" w:cstheme="minorEastAsia"/>
          <w:bCs/>
          <w:szCs w:val="18"/>
        </w:rPr>
        <w:t>1.6产品结构</w:t>
      </w:r>
      <w:r>
        <w:tab/>
      </w:r>
      <w:r>
        <w:fldChar w:fldCharType="begin"/>
      </w:r>
      <w:r>
        <w:instrText xml:space="preserve"> PAGEREF _Toc24037 \h </w:instrText>
      </w:r>
      <w:r>
        <w:fldChar w:fldCharType="separate"/>
      </w:r>
      <w:r>
        <w:t>4</w:t>
      </w:r>
      <w:r>
        <w:fldChar w:fldCharType="end"/>
      </w:r>
    </w:p>
    <w:p>
      <w:pPr>
        <w:pStyle w:val="8"/>
        <w:tabs>
          <w:tab w:val="right" w:leader="dot" w:pos="9070"/>
        </w:tabs>
      </w:pPr>
      <w:r>
        <w:rPr>
          <w:rFonts w:hint="eastAsia" w:asciiTheme="minorEastAsia" w:hAnsiTheme="minorEastAsia" w:eastAsiaTheme="minorEastAsia" w:cstheme="minorEastAsia"/>
          <w:szCs w:val="18"/>
        </w:rPr>
        <w:t>第二章 操作说明</w:t>
      </w:r>
      <w:r>
        <w:tab/>
      </w:r>
      <w:r>
        <w:fldChar w:fldCharType="begin"/>
      </w:r>
      <w:r>
        <w:instrText xml:space="preserve"> PAGEREF _Toc30697 \h </w:instrText>
      </w:r>
      <w:r>
        <w:fldChar w:fldCharType="separate"/>
      </w:r>
      <w:r>
        <w:t>6</w:t>
      </w:r>
      <w:r>
        <w:fldChar w:fldCharType="end"/>
      </w:r>
    </w:p>
    <w:p>
      <w:pPr>
        <w:pStyle w:val="9"/>
        <w:tabs>
          <w:tab w:val="right" w:leader="dot" w:pos="9070"/>
        </w:tabs>
      </w:pPr>
      <w:r>
        <w:rPr>
          <w:rFonts w:hint="eastAsia" w:asciiTheme="minorEastAsia" w:hAnsiTheme="minorEastAsia" w:eastAsiaTheme="minorEastAsia" w:cstheme="minorEastAsia"/>
          <w:bCs/>
          <w:szCs w:val="18"/>
        </w:rPr>
        <w:t>2.1产品安装</w:t>
      </w:r>
      <w:r>
        <w:tab/>
      </w:r>
      <w:r>
        <w:fldChar w:fldCharType="begin"/>
      </w:r>
      <w:r>
        <w:instrText xml:space="preserve"> PAGEREF _Toc19428 \h </w:instrText>
      </w:r>
      <w:r>
        <w:fldChar w:fldCharType="separate"/>
      </w:r>
      <w:r>
        <w:t>6</w:t>
      </w:r>
      <w:r>
        <w:fldChar w:fldCharType="end"/>
      </w:r>
    </w:p>
    <w:p>
      <w:pPr>
        <w:pStyle w:val="8"/>
        <w:tabs>
          <w:tab w:val="right" w:leader="dot" w:pos="9070"/>
        </w:tabs>
      </w:pPr>
      <w:r>
        <w:rPr>
          <w:rFonts w:hint="eastAsia" w:asciiTheme="minorEastAsia" w:hAnsiTheme="minorEastAsia" w:eastAsiaTheme="minorEastAsia" w:cstheme="minorEastAsia"/>
          <w:szCs w:val="18"/>
        </w:rPr>
        <w:t>第三章 常见故障处理</w:t>
      </w:r>
      <w:r>
        <w:tab/>
      </w:r>
      <w:r>
        <w:fldChar w:fldCharType="begin"/>
      </w:r>
      <w:r>
        <w:instrText xml:space="preserve"> PAGEREF _Toc22937 \h </w:instrText>
      </w:r>
      <w:r>
        <w:fldChar w:fldCharType="separate"/>
      </w:r>
      <w:r>
        <w:t>8</w:t>
      </w:r>
      <w:r>
        <w:fldChar w:fldCharType="end"/>
      </w:r>
    </w:p>
    <w:p>
      <w:pPr>
        <w:pStyle w:val="8"/>
        <w:tabs>
          <w:tab w:val="right" w:leader="dot" w:pos="9070"/>
        </w:tabs>
      </w:pPr>
      <w:r>
        <w:rPr>
          <w:rFonts w:hint="eastAsia" w:asciiTheme="minorEastAsia" w:hAnsiTheme="minorEastAsia" w:eastAsiaTheme="minorEastAsia" w:cstheme="minorEastAsia"/>
          <w:szCs w:val="18"/>
        </w:rPr>
        <w:t>第四章 维护与保养</w:t>
      </w:r>
      <w:r>
        <w:tab/>
      </w:r>
      <w:r>
        <w:fldChar w:fldCharType="begin"/>
      </w:r>
      <w:r>
        <w:instrText xml:space="preserve"> PAGEREF _Toc6458 \h </w:instrText>
      </w:r>
      <w:r>
        <w:fldChar w:fldCharType="separate"/>
      </w:r>
      <w:r>
        <w:t>9</w:t>
      </w:r>
      <w:r>
        <w:fldChar w:fldCharType="end"/>
      </w:r>
    </w:p>
    <w:p>
      <w:pPr>
        <w:pStyle w:val="8"/>
        <w:tabs>
          <w:tab w:val="right" w:leader="dot" w:pos="9070"/>
        </w:tabs>
      </w:pPr>
      <w:r>
        <w:rPr>
          <w:rFonts w:hint="eastAsia" w:asciiTheme="minorEastAsia" w:hAnsiTheme="minorEastAsia" w:eastAsiaTheme="minorEastAsia" w:cstheme="minorEastAsia"/>
          <w:szCs w:val="18"/>
        </w:rPr>
        <w:t>第五章 保修条例</w:t>
      </w:r>
      <w:r>
        <w:tab/>
      </w:r>
      <w:r>
        <w:fldChar w:fldCharType="begin"/>
      </w:r>
      <w:r>
        <w:instrText xml:space="preserve"> PAGEREF _Toc20235 \h </w:instrText>
      </w:r>
      <w:r>
        <w:fldChar w:fldCharType="separate"/>
      </w:r>
      <w:r>
        <w:t>9</w:t>
      </w:r>
      <w:r>
        <w:fldChar w:fldCharType="end"/>
      </w:r>
    </w:p>
    <w:p>
      <w:pPr>
        <w:tabs>
          <w:tab w:val="right" w:leader="dot" w:pos="8222"/>
        </w:tabs>
        <w:jc w:val="center"/>
      </w:pPr>
      <w:r>
        <w:fldChar w:fldCharType="end"/>
      </w:r>
      <w:bookmarkStart w:id="2" w:name="_Toc13645"/>
    </w:p>
    <w:p>
      <w:pPr>
        <w:tabs>
          <w:tab w:val="right" w:leader="dot" w:pos="8222"/>
        </w:tabs>
        <w:jc w:val="center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前  言</w:t>
      </w:r>
      <w:bookmarkEnd w:id="2"/>
    </w:p>
    <w:p>
      <w:pPr>
        <w:tabs>
          <w:tab w:val="left" w:pos="6240"/>
        </w:tabs>
        <w:spacing w:line="12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感谢您采购和使用本公司研制的充电桩系列产品，本公司专注于研发和提供新能源电动汽车充电设备和解决方案，目前已拥有壁挂式交流充电桩、立柱式交流充电桩、落地式交流充电桩、壁挂式直流充电桩、立柱式直流充电桩、一体式直流充电桩、分体式直流充电桩、电动自行车充电桩、电动自行车换电柜、充电运营管理软件（云平台+微信公众服务号+APP）等一整套充电系统产品线，可满足客户的多样性需求。</w:t>
      </w:r>
    </w:p>
    <w:p>
      <w:pPr>
        <w:tabs>
          <w:tab w:val="left" w:pos="6240"/>
        </w:tabs>
        <w:spacing w:line="12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我们专注充电领域，坚持技术创新和高性价比产品管理理念，组建了完整的售前、售中、售后服务团队、保证项目支持、交付和后期产品维护等各个阶段均快速响应，在业界拥有良好口碑。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安全注意事项：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请勿将易燃、易爆、化学物、可燃蒸汽等危险物品靠近充电桩；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儿童请勿在充电过程中靠近、使用充电桩，以免造成伤害；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如遇下雨打雷天气，请谨慎充电；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严禁在充电枪或充电线缆存在缺陷、裂痕、磨损、破裂、充电线缆裸露等情况下使用充电桩，如有发现，请及时联系工作人员；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请保持充电枪头清洁干燥，如有脏污，请用清洁的干布擦拭，严禁带电时用手触碰充电枪芯；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请勿试图拆卸、维修、改装充电桩，如有维修、改装需求，请联系工作人员，不正当的操作可能会造成设备损坏、漏水、漏电情况；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使用过程中如有什么异常情况，可立即按下急停按钮，切断所有输入输出电源；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在充电过程中，车辆禁止行驶，只有在静止时才能进行充电；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混合动力电车请熄火后再进行充电。</w:t>
      </w:r>
    </w:p>
    <w:p>
      <w:pPr>
        <w:jc w:val="center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drawing>
          <wp:inline distT="0" distB="0" distL="0" distR="0">
            <wp:extent cx="3975100" cy="1715770"/>
            <wp:effectExtent l="19050" t="0" r="626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4571" cy="171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630"/>
        <w:jc w:val="center"/>
        <w:rPr>
          <w:rFonts w:hint="eastAsia" w:asciiTheme="minorEastAsia" w:hAnsiTheme="minorEastAsia" w:eastAsiaTheme="minorEastAsia" w:cstheme="minorEastAsia"/>
          <w:sz w:val="18"/>
          <w:szCs w:val="18"/>
        </w:rPr>
      </w:pPr>
      <w:bookmarkStart w:id="3" w:name="_Toc16687"/>
      <w:r>
        <w:rPr>
          <w:rFonts w:hint="eastAsia" w:asciiTheme="minorEastAsia" w:hAnsiTheme="minorEastAsia" w:eastAsiaTheme="minorEastAsia" w:cstheme="minorEastAsia"/>
          <w:sz w:val="18"/>
          <w:szCs w:val="18"/>
        </w:rPr>
        <w:t>第一章 产品介绍</w:t>
      </w:r>
      <w:bookmarkEnd w:id="3"/>
    </w:p>
    <w:p>
      <w:pPr>
        <w:pStyle w:val="3"/>
        <w:rPr>
          <w:rFonts w:hint="eastAsia" w:asciiTheme="minorEastAsia" w:hAnsiTheme="minorEastAsia" w:eastAsiaTheme="minorEastAsia" w:cstheme="minorEastAsia"/>
          <w:bCs/>
          <w:sz w:val="18"/>
          <w:szCs w:val="18"/>
        </w:rPr>
      </w:pPr>
      <w:bookmarkStart w:id="4" w:name="_Toc8220"/>
      <w:r>
        <w:rPr>
          <w:rFonts w:hint="eastAsia" w:asciiTheme="minorEastAsia" w:hAnsiTheme="minorEastAsia" w:eastAsiaTheme="minorEastAsia" w:cstheme="minorEastAsia"/>
          <w:bCs/>
          <w:sz w:val="18"/>
          <w:szCs w:val="18"/>
        </w:rPr>
        <w:t>1.1产品介绍</w:t>
      </w:r>
      <w:bookmarkEnd w:id="4"/>
    </w:p>
    <w:p>
      <w:pPr>
        <w:tabs>
          <w:tab w:val="left" w:pos="6240"/>
        </w:tabs>
        <w:spacing w:line="12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本产品为14KW单相双枪交流充电桩，主要用于电动汽车交流充电。产品由充电桩体、壁挂背板、落地立柱（选配件）等组成，具备充电保护、刷卡充电、扫码充电、扫码支付、联网监控、远程升级等功能。本产品采用工业化设计原则，安装方便，部署快捷，并具备如下创新设计；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设备待机功耗5-7W，远低于行业标准15W，一台设备每年节省电费100元左右；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独创倾倒防护功能，设备倾倒角度超30度，则自动断开输出并告警，保护用电安全；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整机防护等级IP55，高于行业标准IP54，具有良好的防尘、防水性能，可在室内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外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安全的运行和维护。</w:t>
      </w:r>
    </w:p>
    <w:p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设备严格遵循模块化设计原则；通讯模块可插拨，兼容以太网/3G/4G模块，用户可根据实际需求选配；结构兼容壁挂式和落地式安装方式，壁挂式充电桩在不改变结构或增加其他配件的基础上，配上立柱即可为落地安装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sz w:val="18"/>
          <w:szCs w:val="18"/>
        </w:rPr>
      </w:pPr>
      <w:bookmarkStart w:id="5" w:name="_Toc5130"/>
      <w:r>
        <w:rPr>
          <w:rFonts w:hint="eastAsia" w:asciiTheme="minorEastAsia" w:hAnsiTheme="minorEastAsia" w:eastAsiaTheme="minorEastAsia" w:cstheme="minorEastAsia"/>
          <w:sz w:val="18"/>
          <w:szCs w:val="18"/>
        </w:rPr>
        <w:t>1.2产品原理构图</w:t>
      </w:r>
      <w:bookmarkEnd w:id="5"/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3999230" cy="1833880"/>
            <wp:effectExtent l="0" t="0" r="889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bCs/>
          <w:sz w:val="18"/>
          <w:szCs w:val="18"/>
        </w:rPr>
      </w:pPr>
      <w:bookmarkStart w:id="6" w:name="_Toc12049"/>
      <w:r>
        <w:rPr>
          <w:rFonts w:hint="eastAsia" w:asciiTheme="minorEastAsia" w:hAnsiTheme="minorEastAsia" w:eastAsiaTheme="minorEastAsia" w:cstheme="minorEastAsia"/>
          <w:bCs/>
          <w:sz w:val="18"/>
          <w:szCs w:val="18"/>
        </w:rPr>
        <w:t>1.3主要参数说明</w:t>
      </w:r>
      <w:bookmarkEnd w:id="6"/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tbl>
      <w:tblPr>
        <w:tblStyle w:val="12"/>
        <w:tblW w:w="91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8"/>
        <w:gridCol w:w="2022"/>
        <w:gridCol w:w="5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908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详细规格</w:t>
            </w: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产品型号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GEVA-14220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90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外观结构</w:t>
            </w: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产品名称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14KW单相双枪交流桩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设备尺寸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400*280*1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44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（L*W*H）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安装方式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壁挂式/落地式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安装组件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壁挂背板 32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*177*20（L*W*H）（标配）</w:t>
            </w:r>
          </w:p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落地立柱 100*50*1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00（L*W*H）（选配）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进线方式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下进下出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设备重量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＜10Kg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线缆长度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3.5M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显示屏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4.3寸触摸显示屏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" w:hRule="atLeast"/>
        </w:trPr>
        <w:tc>
          <w:tcPr>
            <w:tcW w:w="190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电气性能</w:t>
            </w: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输入电压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220VAC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输入频率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50Hz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功    率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14KW(Max)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输出电压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220VAC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输出电流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  <w:t>单枪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32A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待机功耗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6W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90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环境指标</w:t>
            </w: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适用场景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户外/室内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工作温度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-30～＋55度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湿    度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5%～95%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海    拔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＜2000M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防护等级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IP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90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环境指标</w:t>
            </w: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冷却方式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自然冷却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安规认证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GB/T20234、GB/T18487、NB/T33008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90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2022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MTBF</w:t>
            </w:r>
          </w:p>
        </w:tc>
        <w:tc>
          <w:tcPr>
            <w:tcW w:w="5250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100000小时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908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安全设计</w:t>
            </w:r>
          </w:p>
        </w:tc>
        <w:tc>
          <w:tcPr>
            <w:tcW w:w="7272" w:type="dxa"/>
            <w:gridSpan w:val="2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过压保护、欠压保护、过载保护、短路保护、漏电保护、接地保护、过温保护、防雷保护、倾倒保护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908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功能设计</w:t>
            </w:r>
          </w:p>
        </w:tc>
        <w:tc>
          <w:tcPr>
            <w:tcW w:w="7272" w:type="dxa"/>
            <w:gridSpan w:val="2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以太网/4G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  <w:t>联网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、后台监控、远程升级、移动支付、手机APP/微信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  <w:t>小程序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扫码充电、刷卡充电、LED指示、LCD显示</w:t>
            </w:r>
          </w:p>
        </w:tc>
      </w:tr>
    </w:tbl>
    <w:p>
      <w:pPr>
        <w:pStyle w:val="3"/>
        <w:rPr>
          <w:rFonts w:hint="eastAsia" w:asciiTheme="minorEastAsia" w:hAnsiTheme="minorEastAsia" w:eastAsiaTheme="minorEastAsia" w:cstheme="minorEastAsia"/>
          <w:b w:val="0"/>
          <w:bCs/>
          <w:sz w:val="18"/>
          <w:szCs w:val="18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bCs/>
          <w:sz w:val="18"/>
          <w:szCs w:val="18"/>
        </w:rPr>
      </w:pPr>
      <w:bookmarkStart w:id="7" w:name="_Toc16061"/>
      <w:r>
        <w:rPr>
          <w:rFonts w:hint="eastAsia" w:asciiTheme="minorEastAsia" w:hAnsiTheme="minorEastAsia" w:eastAsiaTheme="minorEastAsia" w:cstheme="minorEastAsia"/>
          <w:bCs/>
          <w:sz w:val="18"/>
          <w:szCs w:val="18"/>
        </w:rPr>
        <w:t>1.4产品特点</w:t>
      </w:r>
      <w:bookmarkEnd w:id="7"/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1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采用模块化设计原则，通讯模块可插拨和选配，维护方便；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2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支持与远端管理平台通信，实现远程监控和远端升级；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3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支持手机扫码充电和刷卡充电，能读取用户IC卡中任何信息；</w:t>
      </w:r>
    </w:p>
    <w:p>
      <w:pPr>
        <w:tabs>
          <w:tab w:val="left" w:pos="6240"/>
        </w:tabs>
        <w:spacing w:line="120" w:lineRule="auto"/>
        <w:ind w:left="360" w:hanging="270" w:hangingChars="15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4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全方位保护运行安全；具备过压保护、欠压保护、过载保护、短路保护、漏电保护、接地保护、过温保护、低温保护、防雷保护、倾倒保护，确保设备运行安全可靠；</w:t>
      </w:r>
    </w:p>
    <w:p>
      <w:pPr>
        <w:tabs>
          <w:tab w:val="left" w:pos="6240"/>
        </w:tabs>
        <w:spacing w:line="120" w:lineRule="auto"/>
        <w:ind w:left="360" w:hanging="270" w:hangingChars="15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5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界面友好：4.3寸显示屏，实时显示设备状态、运行数据（电压、电流、功率、充电电量和时间）和故障信息。</w:t>
      </w:r>
    </w:p>
    <w:p>
      <w:pPr>
        <w:tabs>
          <w:tab w:val="left" w:pos="6240"/>
        </w:tabs>
        <w:spacing w:line="360" w:lineRule="exact"/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p>
      <w:pPr>
        <w:tabs>
          <w:tab w:val="left" w:pos="6240"/>
        </w:tabs>
        <w:spacing w:line="120" w:lineRule="auto"/>
        <w:ind w:left="360" w:hanging="271" w:hangingChars="150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18"/>
          <w:szCs w:val="18"/>
        </w:rPr>
        <w:t>1.5</w: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产品设计规范</w:t>
      </w:r>
    </w:p>
    <w:p>
      <w:pPr>
        <w:tabs>
          <w:tab w:val="left" w:pos="6240"/>
        </w:tabs>
        <w:spacing w:line="120" w:lineRule="auto"/>
        <w:ind w:left="359" w:leftChars="171" w:firstLine="90" w:firstLineChars="5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单相交流充电桩根据最新国际设计，在功能和性能上符合国家和行业标准。所用技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术标准见下表：</w:t>
      </w:r>
    </w:p>
    <w:p>
      <w:pPr>
        <w:tabs>
          <w:tab w:val="left" w:pos="6240"/>
        </w:tabs>
        <w:spacing w:line="360" w:lineRule="exact"/>
        <w:ind w:firstLine="270" w:firstLineChars="150"/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tbl>
      <w:tblPr>
        <w:tblStyle w:val="12"/>
        <w:tblW w:w="91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486"/>
        <w:gridCol w:w="57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序号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标准号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标准名称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GB/T18487.1-2015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电动汽车传导充电系统 第1部分：通用要求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GB/T 20234.2-2015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电动汽车传导充电用连接装置 第1部分：通用要求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GB/T 20234.2-2015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电动汽车传导充电用连接装置 第2部分：交流充电接口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GB/T 27930-2015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电动汽车非车载传导式充电机与电池管理系统之间的通信协议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GB/T 19596-2015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电动汽车术语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GB/T 17618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信息技术设备抗扰度限值和测量方法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 9254-2008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信息技术设备的无线电骚扰限值和测量方法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 4208-2008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外壳防护等级（IP代码）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DL/T 645-2007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多功能电能表通信协议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 9286-1998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色漆和清漆 漆膜的规格试验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 6587.4-1986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电子测量仪器振动试验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 6587.5-1986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电子测量仪器冲击试验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GB/T 13384-2008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机电产品包装通用技术条件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GB/T 17626.2-2006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电磁兼容试验和测量技术静电放电抗扰度试验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GB/T 17626.3-2006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电磁兼容试验和测量技术射频电磁场辐射抗扰度试验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GB/T 17626.4-2006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电磁兼容试验和测量技术电快速瞬变脉冲群抗扰度试验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GB/T 17626.5-2006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电磁兼容试验和测量技术浪涌（冲击）抗扰度试验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59" w:type="dxa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18</w:t>
            </w:r>
          </w:p>
        </w:tc>
        <w:tc>
          <w:tcPr>
            <w:tcW w:w="2486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GB/T 17626.6-2006</w:t>
            </w:r>
          </w:p>
        </w:tc>
        <w:tc>
          <w:tcPr>
            <w:tcW w:w="5735" w:type="dxa"/>
            <w:vAlign w:val="center"/>
          </w:tcPr>
          <w:p>
            <w:pPr>
              <w:tabs>
                <w:tab w:val="left" w:pos="6240"/>
              </w:tabs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电磁兼容试验和测量技术射频场感应的传导骚扰抗扰度</w:t>
            </w:r>
          </w:p>
        </w:tc>
      </w:tr>
    </w:tbl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p>
      <w:pPr>
        <w:pStyle w:val="3"/>
        <w:rPr>
          <w:rFonts w:hint="eastAsia" w:asciiTheme="minorEastAsia" w:hAnsiTheme="minorEastAsia" w:eastAsiaTheme="minorEastAsia" w:cstheme="minorEastAsia"/>
          <w:sz w:val="18"/>
          <w:szCs w:val="18"/>
        </w:rPr>
      </w:pPr>
      <w:bookmarkStart w:id="8" w:name="_Toc24037"/>
      <w:r>
        <w:rPr>
          <w:rFonts w:hint="eastAsia" w:asciiTheme="minorEastAsia" w:hAnsiTheme="minorEastAsia" w:eastAsiaTheme="minorEastAsia" w:cstheme="minorEastAsia"/>
          <w:bCs/>
          <w:sz w:val="18"/>
          <w:szCs w:val="18"/>
        </w:rPr>
        <w:t>1.6产品结构</w:t>
      </w:r>
      <w:bookmarkEnd w:id="8"/>
    </w:p>
    <w:p>
      <w:pPr>
        <w:tabs>
          <w:tab w:val="left" w:pos="6240"/>
        </w:tabs>
        <w:outlineLvl w:val="2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bookmarkStart w:id="9" w:name="_Toc1176"/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整体外形图</w:t>
      </w:r>
      <w:bookmarkEnd w:id="9"/>
    </w:p>
    <w:p>
      <w:pPr>
        <w:jc w:val="center"/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p>
      <w:pPr>
        <w:jc w:val="center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4318000" cy="4584700"/>
            <wp:effectExtent l="0" t="0" r="6350" b="6350"/>
            <wp:docPr id="2" name="图片 2" descr="qqqq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qqqq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240"/>
        </w:tabs>
        <w:spacing w:line="120" w:lineRule="auto"/>
        <w:ind w:left="359" w:leftChars="171" w:firstLine="90" w:firstLineChars="5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备注：网络版需接入“INPUT”电源线（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6mm²）和网线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或者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4G模块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；</w:t>
      </w:r>
    </w:p>
    <w:p>
      <w:pPr>
        <w:tabs>
          <w:tab w:val="left" w:pos="6240"/>
        </w:tabs>
        <w:spacing w:line="120" w:lineRule="auto"/>
        <w:ind w:left="359" w:leftChars="171" w:firstLine="630" w:firstLineChars="35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单机离网版只需接入“INPUT”电源线（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6mm²）。</w:t>
      </w:r>
    </w:p>
    <w:p>
      <w:pPr>
        <w:tabs>
          <w:tab w:val="left" w:pos="6240"/>
        </w:tabs>
        <w:spacing w:line="120" w:lineRule="auto"/>
        <w:ind w:firstLine="181" w:firstLineChars="100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壁挂式背板结构图</w:t>
      </w:r>
    </w:p>
    <w:p>
      <w:pPr>
        <w:jc w:val="center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3970655" cy="3390265"/>
            <wp:effectExtent l="0" t="0" r="10795" b="635"/>
            <wp:docPr id="11" name="图片 11" descr="背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背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240"/>
        </w:tabs>
        <w:spacing w:line="120" w:lineRule="auto"/>
        <w:ind w:firstLine="181" w:firstLineChars="100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cstheme="minorEastAsia"/>
          <w:b/>
          <w:sz w:val="18"/>
          <w:szCs w:val="18"/>
          <w:lang w:val="en-US" w:eastAsia="zh-CN"/>
        </w:rPr>
        <w:t>立柱底板</w: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结构图</w:t>
      </w:r>
    </w:p>
    <w:p>
      <w:pPr>
        <w:jc w:val="center"/>
        <w:rPr>
          <w:rFonts w:hint="eastAsia" w:ascii="微软雅黑" w:hAnsi="微软雅黑" w:eastAsia="微软雅黑"/>
          <w:sz w:val="24"/>
          <w:szCs w:val="24"/>
          <w:lang w:eastAsia="zh-CN"/>
        </w:rPr>
      </w:pPr>
    </w:p>
    <w:p>
      <w:pPr>
        <w:jc w:val="center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4126230" cy="2699385"/>
            <wp:effectExtent l="0" t="0" r="7620" b="5715"/>
            <wp:docPr id="14" name="图片 14" descr="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Theme="minorEastAsia" w:hAnsiTheme="minorEastAsia" w:eastAsiaTheme="minorEastAsia" w:cstheme="minorEastAsia"/>
          <w:sz w:val="18"/>
          <w:szCs w:val="18"/>
        </w:rPr>
      </w:pPr>
      <w:bookmarkStart w:id="10" w:name="_Toc30697"/>
      <w:r>
        <w:rPr>
          <w:rFonts w:hint="eastAsia" w:asciiTheme="minorEastAsia" w:hAnsiTheme="minorEastAsia" w:eastAsiaTheme="minorEastAsia" w:cstheme="minorEastAsia"/>
          <w:sz w:val="18"/>
          <w:szCs w:val="18"/>
        </w:rPr>
        <w:t>第二章 操作说明</w:t>
      </w:r>
      <w:bookmarkEnd w:id="10"/>
    </w:p>
    <w:p>
      <w:pPr>
        <w:pStyle w:val="3"/>
        <w:rPr>
          <w:rFonts w:hint="eastAsia" w:asciiTheme="minorEastAsia" w:hAnsiTheme="minorEastAsia" w:eastAsiaTheme="minorEastAsia" w:cstheme="minorEastAsia"/>
          <w:sz w:val="18"/>
          <w:szCs w:val="18"/>
        </w:rPr>
      </w:pPr>
      <w:bookmarkStart w:id="11" w:name="_Toc19428"/>
      <w:r>
        <w:rPr>
          <w:rFonts w:hint="eastAsia" w:asciiTheme="minorEastAsia" w:hAnsiTheme="minorEastAsia" w:eastAsiaTheme="minorEastAsia" w:cstheme="minorEastAsia"/>
          <w:bCs/>
          <w:sz w:val="18"/>
          <w:szCs w:val="18"/>
        </w:rPr>
        <w:t>2.1产品安装</w:t>
      </w:r>
      <w:bookmarkEnd w:id="11"/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2.1.1线缆准备</w:t>
      </w:r>
    </w:p>
    <w:p>
      <w:pPr>
        <w:tabs>
          <w:tab w:val="left" w:pos="6240"/>
        </w:tabs>
        <w:spacing w:line="120" w:lineRule="auto"/>
        <w:ind w:left="359" w:leftChars="171" w:firstLine="90" w:firstLineChars="5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充电桩供电及通讯（网络版）推荐线缆规格如下：</w:t>
      </w:r>
    </w:p>
    <w:tbl>
      <w:tblPr>
        <w:tblStyle w:val="12"/>
        <w:tblW w:w="8657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2268"/>
        <w:gridCol w:w="1985"/>
        <w:gridCol w:w="3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76" w:type="dxa"/>
            <w:vAlign w:val="center"/>
          </w:tcPr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线缆名称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线缆规格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长度</w:t>
            </w:r>
          </w:p>
        </w:tc>
        <w:tc>
          <w:tcPr>
            <w:tcW w:w="3128" w:type="dxa"/>
            <w:vAlign w:val="center"/>
          </w:tcPr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276" w:type="dxa"/>
            <w:vAlign w:val="center"/>
          </w:tcPr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电力</w:t>
            </w:r>
          </w:p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电源线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3*16mm²及以上单相电源电缆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以具体施工长度为准</w:t>
            </w:r>
          </w:p>
        </w:tc>
        <w:tc>
          <w:tcPr>
            <w:tcW w:w="3128" w:type="dxa"/>
            <w:vAlign w:val="center"/>
          </w:tcPr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276" w:type="dxa"/>
            <w:vAlign w:val="center"/>
          </w:tcPr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通讯</w:t>
            </w:r>
          </w:p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信号线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带屏蔽网络线（超五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类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1985" w:type="dxa"/>
            <w:vAlign w:val="center"/>
          </w:tcPr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以具体施工长度为准</w:t>
            </w:r>
          </w:p>
        </w:tc>
        <w:tc>
          <w:tcPr>
            <w:tcW w:w="3128" w:type="dxa"/>
            <w:vAlign w:val="center"/>
          </w:tcPr>
          <w:p>
            <w:pPr>
              <w:tabs>
                <w:tab w:val="left" w:pos="6240"/>
              </w:tabs>
              <w:spacing w:line="360" w:lineRule="exact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标准水晶头（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RJ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-45），直通接线方式</w:t>
            </w:r>
          </w:p>
        </w:tc>
      </w:tr>
    </w:tbl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2.1.2现场安装流程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1</w:t>
      </w:r>
      <w:r>
        <w:rPr>
          <w:rFonts w:hint="eastAsia" w:asciiTheme="minorEastAsia" w:hAnsiTheme="minorEastAsia" w:cstheme="minorEastAsia"/>
          <w:b/>
          <w:sz w:val="18"/>
          <w:szCs w:val="18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 xml:space="preserve"> 安全注意事项：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充电桩、挂线钩/立柱均安装在车位中心线对应的位置；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如壁挂安装，则充电桩壁挂背板上方固定螺丝孔离地距离为1.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M；</w:t>
      </w:r>
    </w:p>
    <w:p>
      <w:pPr>
        <w:pStyle w:val="14"/>
        <w:numPr>
          <w:ilvl w:val="0"/>
          <w:numId w:val="1"/>
        </w:numPr>
        <w:tabs>
          <w:tab w:val="left" w:pos="6240"/>
        </w:tabs>
        <w:spacing w:line="120" w:lineRule="auto"/>
        <w:ind w:firstLineChars="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充电桩安装位置到车位线的水平距离大于或者等于0.5M；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※ 充电停车位应安装车轮定位器，必要时车位后端可安装隔离柱/挡车立柱。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2</w:t>
      </w:r>
      <w:r>
        <w:rPr>
          <w:rFonts w:hint="eastAsia" w:asciiTheme="minorEastAsia" w:hAnsiTheme="minorEastAsia" w:cstheme="minorEastAsia"/>
          <w:b/>
          <w:sz w:val="18"/>
          <w:szCs w:val="18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布线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壁挂式安装：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通讯线、电源线从左上方引下，采用线槽或线管固定；</w:t>
      </w:r>
    </w:p>
    <w:p>
      <w:pPr>
        <w:tabs>
          <w:tab w:val="left" w:pos="6240"/>
        </w:tabs>
        <w:spacing w:line="120" w:lineRule="auto"/>
        <w:ind w:left="360" w:hanging="270" w:hangingChars="15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线管位于车位的中心线偏左20cm；线管底部离地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13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2cm，通讯线、电源线伸出线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管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大于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0cm。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落地式安装：</w:t>
      </w:r>
    </w:p>
    <w:p>
      <w:pPr>
        <w:tabs>
          <w:tab w:val="left" w:pos="6240"/>
        </w:tabs>
        <w:spacing w:line="120" w:lineRule="auto"/>
        <w:ind w:left="360" w:hanging="270" w:hangingChars="15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提前确定落地立柱位置，需处于车位中心线，通讯线、电源线从落地立柱中穿出，伸出</w:t>
      </w:r>
    </w:p>
    <w:p>
      <w:pPr>
        <w:tabs>
          <w:tab w:val="left" w:pos="6240"/>
        </w:tabs>
        <w:spacing w:line="120" w:lineRule="auto"/>
        <w:ind w:left="360" w:hanging="270" w:hangingChars="15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部分大于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0cm（合计线缆伸出地面大于1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0cm）。</w:t>
      </w:r>
    </w:p>
    <w:p>
      <w:pPr>
        <w:tabs>
          <w:tab w:val="left" w:pos="6240"/>
        </w:tabs>
        <w:spacing w:line="360" w:lineRule="exact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3</w:t>
      </w:r>
      <w:r>
        <w:rPr>
          <w:rFonts w:hint="eastAsia" w:asciiTheme="minorEastAsia" w:hAnsiTheme="minorEastAsia" w:cstheme="minorEastAsia"/>
          <w:b/>
          <w:sz w:val="18"/>
          <w:szCs w:val="18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安装组件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壁挂式安装：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背板右上方螺丝孔离地1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0cm，挂在线槽上方；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挂线勾右上方螺丝孔离地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100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cm；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背板、挂线钩均处于车位中心线。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落地式安装：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按底座尺寸图，在水泥地面钻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个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M10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*1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0mm的孔，将立柱底座对好孔，用M1</w:t>
      </w:r>
      <w:r>
        <w:rPr>
          <w:rFonts w:hint="eastAsia" w:asciiTheme="minorEastAsia" w:hAnsiTheme="minorEastAsia" w:cstheme="minorEastAsia"/>
          <w:sz w:val="18"/>
          <w:szCs w:val="18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*1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0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0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螺栓打紧锁死。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4</w:t>
      </w:r>
      <w:r>
        <w:rPr>
          <w:rFonts w:hint="eastAsia" w:asciiTheme="minorEastAsia" w:hAnsiTheme="minorEastAsia" w:cstheme="minorEastAsia"/>
          <w:b/>
          <w:sz w:val="18"/>
          <w:szCs w:val="18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接线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将电源线和网线穿过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对应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的防水头，并连接到输入空开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和网线接口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上。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5</w:t>
      </w:r>
      <w:r>
        <w:rPr>
          <w:rFonts w:hint="eastAsia" w:asciiTheme="minorEastAsia" w:hAnsiTheme="minorEastAsia" w:cstheme="minorEastAsia"/>
          <w:b/>
          <w:sz w:val="18"/>
          <w:szCs w:val="18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锁紧上盖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壁挂式安装：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检查桩体内部没有遗留其他外部物体，合上设备上盖，从侧面用钥匙锁紧，保存钥匙；</w:t>
      </w:r>
    </w:p>
    <w:p>
      <w:pPr>
        <w:tabs>
          <w:tab w:val="left" w:pos="6240"/>
        </w:tabs>
        <w:spacing w:line="120" w:lineRule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落地式安装：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检查桩体内部没有遗留其他外部物体，合上设备上盖，从侧面用钥匙锁紧，保存钥匙；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2.2 设备上电检查、调试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bookmarkStart w:id="12" w:name="_Toc21653"/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1</w:t>
      </w:r>
      <w:r>
        <w:rPr>
          <w:rFonts w:hint="eastAsia" w:asciiTheme="minorEastAsia" w:hAnsiTheme="minorEastAsia" w:cstheme="minorEastAsia"/>
          <w:b/>
          <w:sz w:val="18"/>
          <w:szCs w:val="18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上电前检查</w:t>
      </w:r>
      <w:bookmarkEnd w:id="12"/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上电前，请仔细检查并确保下列事项：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1、没有外部物体或零件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工具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遗留在交流桩内部或顶上；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2、交流桩与附件正确连接并安装牢固；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3、交流桩安装位置便于操作和维修；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4、充电桩进线端上级交流漏电保护开关选型合理。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bookmarkStart w:id="13" w:name="_Toc12354"/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2</w:t>
      </w:r>
      <w:r>
        <w:rPr>
          <w:rFonts w:hint="eastAsia" w:asciiTheme="minorEastAsia" w:hAnsiTheme="minorEastAsia" w:cstheme="minorEastAsia"/>
          <w:b/>
          <w:sz w:val="18"/>
          <w:szCs w:val="18"/>
          <w:lang w:val="en-US" w:eastAsia="zh-CN"/>
        </w:rPr>
        <w:t>.</w:t>
      </w: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设备上电</w:t>
      </w:r>
      <w:bookmarkEnd w:id="13"/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1、确定以上检查项目均满足要求；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2、上端配电箱断路器闭合后，打开充电桩上盖，闭合漏电保护断路器；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3、交流桩上电：约有1分钟的开机自检时间，指示灯绿、黄、红交替显示，各1秒。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4、上电自检完成后，观察LED指示灯状态。</w:t>
      </w:r>
    </w:p>
    <w:p>
      <w:pPr>
        <w:tabs>
          <w:tab w:val="left" w:pos="6240"/>
        </w:tabs>
        <w:spacing w:line="12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正常待机：绿灯常亮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   设备故障：黄灯闪烁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2.3 系统设置及联网</w:t>
      </w:r>
    </w:p>
    <w:p>
      <w:pPr>
        <w:tabs>
          <w:tab w:val="left" w:pos="6240"/>
        </w:tabs>
        <w:spacing w:line="12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联网版充电桩，需要在远端管理平台进行初始配置操作，输入充电桩序列号将该充电桩录入对应的充电站内，平台根据GIS系统，在地图上显示该充电站/桩信息。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2.4充电操作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2.4.1充电连接</w:t>
      </w:r>
    </w:p>
    <w:p>
      <w:pPr>
        <w:tabs>
          <w:tab w:val="left" w:pos="6240"/>
        </w:tabs>
        <w:spacing w:line="12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电动车主将电动车停好后，从桩上拿下充电枪，插入电动汽车的充电插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口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，请确保插到位且连接可靠。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2.4.2充电控制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对于网络版充电桩，可支持充电APP/微信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小程序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扫码充电，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也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可以刷IC卡充电：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扫码充电：</w:t>
      </w:r>
    </w:p>
    <w:p>
      <w:pPr>
        <w:tabs>
          <w:tab w:val="left" w:pos="6240"/>
        </w:tabs>
        <w:spacing w:line="12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如果电动车主安装了充电APP或关注了微信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小程序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，可在手机充电APP或者微信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小程序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上找到就近的空闲充电桩，将车停入车位，扫描现场充电桩上的二维码，即可进入该桩的充电控制界面，车主连接好充电枪后，点击“开始充电”即可向电动汽车充电。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刷卡充电：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用户正确连接充电枪，使用配置好的IC卡刷卡即可进入充电状态。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充电结束操作时，请务必先刷卡结算后再拔枪，否则将造成锁卡。（如被锁卡，请在再次刷卡结算并解锁，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如无法解锁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请联系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发卡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管理处）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2.4.3充电停止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当充电桩工作状态时，车主需要结束充电，可以通过以下方式；</w:t>
      </w:r>
    </w:p>
    <w:p>
      <w:pPr>
        <w:tabs>
          <w:tab w:val="left" w:pos="6240"/>
        </w:tabs>
        <w:spacing w:line="120" w:lineRule="auto"/>
        <w:ind w:firstLine="180" w:firstLineChars="10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移动端（APP或微信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小程序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）点击“停止充电”，然后拔枪。</w:t>
      </w:r>
    </w:p>
    <w:p>
      <w:pPr>
        <w:tabs>
          <w:tab w:val="left" w:pos="6240"/>
        </w:tabs>
        <w:spacing w:line="120" w:lineRule="auto"/>
        <w:ind w:firstLine="180" w:firstLineChars="10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刷卡结算，成功扣款拔枪。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2.4.4充电结算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扫码充电结算</w:t>
      </w:r>
    </w:p>
    <w:p>
      <w:pPr>
        <w:tabs>
          <w:tab w:val="left" w:pos="6240"/>
        </w:tabs>
        <w:spacing w:line="12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结束充电并拔出充电枪后，系统会自动结算本次的充电费用，并推送详细的充电数据（包括充电时长、充电量、充电费用）到车主的APP或绑定的微信上。车主还可以通过消费清单查看历史消费记录与账户资金的变动情况。</w:t>
      </w:r>
    </w:p>
    <w:p>
      <w:pPr>
        <w:tabs>
          <w:tab w:val="left" w:pos="6240"/>
        </w:tabs>
        <w:spacing w:line="120" w:lineRule="auto"/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刷卡充电结算</w:t>
      </w:r>
    </w:p>
    <w:p>
      <w:pPr>
        <w:tabs>
          <w:tab w:val="left" w:pos="6240"/>
        </w:tabs>
        <w:spacing w:line="120" w:lineRule="auto"/>
        <w:ind w:firstLine="360" w:firstLineChars="20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刷卡自动结算，屏幕显示充电量及充电金额。</w:t>
      </w:r>
    </w:p>
    <w:p>
      <w:pPr>
        <w:pStyle w:val="2"/>
        <w:jc w:val="center"/>
        <w:rPr>
          <w:rFonts w:hint="eastAsia" w:asciiTheme="minorEastAsia" w:hAnsiTheme="minorEastAsia" w:eastAsiaTheme="minorEastAsia" w:cstheme="minorEastAsia"/>
          <w:sz w:val="18"/>
          <w:szCs w:val="18"/>
        </w:rPr>
      </w:pPr>
      <w:bookmarkStart w:id="14" w:name="_Toc22937"/>
      <w:r>
        <w:rPr>
          <w:rFonts w:hint="eastAsia" w:asciiTheme="minorEastAsia" w:hAnsiTheme="minorEastAsia" w:eastAsiaTheme="minorEastAsia" w:cstheme="minorEastAsia"/>
          <w:sz w:val="18"/>
          <w:szCs w:val="18"/>
        </w:rPr>
        <w:t>第三章 常见故障处理</w:t>
      </w:r>
      <w:bookmarkEnd w:id="14"/>
    </w:p>
    <w:p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tbl>
      <w:tblPr>
        <w:tblStyle w:val="12"/>
        <w:tblW w:w="9046" w:type="dxa"/>
        <w:tblInd w:w="1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8"/>
        <w:gridCol w:w="1351"/>
        <w:gridCol w:w="6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b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18"/>
                <w:szCs w:val="18"/>
              </w:rPr>
              <w:t>故障</w:t>
            </w:r>
          </w:p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b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18"/>
                <w:szCs w:val="18"/>
              </w:rPr>
              <w:t>名称</w:t>
            </w:r>
          </w:p>
        </w:tc>
        <w:tc>
          <w:tcPr>
            <w:tcW w:w="1351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b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18"/>
                <w:szCs w:val="18"/>
              </w:rPr>
              <w:t>故障现象</w:t>
            </w:r>
          </w:p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b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18"/>
                <w:szCs w:val="18"/>
              </w:rPr>
              <w:t>可能原因</w:t>
            </w: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b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kern w:val="0"/>
                <w:sz w:val="18"/>
                <w:szCs w:val="18"/>
              </w:rPr>
              <w:t>排除建议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AC过压</w:t>
            </w:r>
          </w:p>
        </w:tc>
        <w:tc>
          <w:tcPr>
            <w:tcW w:w="1351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交流输入</w:t>
            </w:r>
          </w:p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电压过高</w:t>
            </w: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1.如电压短时264Vac，则等待电网自行恢复至正常电压范围内。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2.查看后台监控数据并分析，如果此区域电压长期过压，则可通过配置软件调高输入过压保护电，最高可至300Vac。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3.如果故障不能排除，请联系我们。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AC欠压</w:t>
            </w:r>
          </w:p>
        </w:tc>
        <w:tc>
          <w:tcPr>
            <w:tcW w:w="1351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交流输入</w:t>
            </w:r>
          </w:p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电压过低</w:t>
            </w: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1.如果电压短时低于140Vac，则等待电网自行恢复至正常电压范围内。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2.查看后台监控数据并分析，如果此区域电压长期欠压，则可通过配置软件调高输入欠压保护点。最低可至140Vac。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3.如果故障不能排除，请联系我们。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AC过流</w:t>
            </w:r>
          </w:p>
        </w:tc>
        <w:tc>
          <w:tcPr>
            <w:tcW w:w="1351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交流输入</w:t>
            </w:r>
          </w:p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电流过大</w:t>
            </w: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1.立即断开配电箱漏电/过流保护断路器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2.检查交流桩输出线两线之间是否有低阻抗或短路情况。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3.排除以上问题后，重新上电，如果故障依旧存在，请联系我们。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AC过频</w:t>
            </w:r>
          </w:p>
        </w:tc>
        <w:tc>
          <w:tcPr>
            <w:tcW w:w="1351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交流输入</w:t>
            </w:r>
          </w:p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频率过高</w:t>
            </w: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1.如频率短时超过55HZ，则等待等网自行恢复至正常频率范围内。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2.查看后台监控数据中输入电压频率，如果长期过高，请联系供电部门处理。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AC欠频</w:t>
            </w:r>
          </w:p>
        </w:tc>
        <w:tc>
          <w:tcPr>
            <w:tcW w:w="1351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交流输入</w:t>
            </w:r>
          </w:p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频率过低</w:t>
            </w: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1.如果频率低于45HZ，则等待等网自行恢复至正常频率范围内。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2.查看后台监控数据并分析，如果此区域频率长期过频，则可通过配置软件调高输入过频保护点，最低可至40HZ。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3.如果故障不能排除，请联系我们。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过温</w:t>
            </w:r>
          </w:p>
        </w:tc>
        <w:tc>
          <w:tcPr>
            <w:tcW w:w="1351" w:type="dxa"/>
            <w:vMerge w:val="restart"/>
            <w:vAlign w:val="center"/>
          </w:tcPr>
          <w:p>
            <w:pPr>
              <w:tabs>
                <w:tab w:val="left" w:pos="6240"/>
              </w:tabs>
              <w:ind w:firstLine="90" w:firstLineChars="5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交流桩</w:t>
            </w:r>
          </w:p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内部过温</w:t>
            </w: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1.检查交流桩安装环境，核查旁边是否有发热源，确保环境温度在60度以下。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2.如果故障不能排除，请联系我们。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漏电流超标</w:t>
            </w:r>
          </w:p>
        </w:tc>
        <w:tc>
          <w:tcPr>
            <w:tcW w:w="1351" w:type="dxa"/>
            <w:vMerge w:val="restart"/>
            <w:vAlign w:val="center"/>
          </w:tcPr>
          <w:p>
            <w:pPr>
              <w:tabs>
                <w:tab w:val="left" w:pos="6240"/>
              </w:tabs>
              <w:ind w:firstLine="90" w:firstLineChars="50"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对地漏</w:t>
            </w:r>
          </w:p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电流过高</w:t>
            </w: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1.立即断开配电箱漏电开关。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2.检查交流桩输出线是否有破损或对地有低阻抗或短路情况。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3.排除以上问题后，并复位漏电保护开关，重新上电。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4.如故障依然存在，请联系我们。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接地故障</w:t>
            </w:r>
          </w:p>
        </w:tc>
        <w:tc>
          <w:tcPr>
            <w:tcW w:w="1351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输入/输出接地不良或输入L/N接反</w:t>
            </w: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1.立即断开交流配电箱的漏电保护空开。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2.检查交流输入/输出线接地是否正常，输入L/N是否按正常相序连接。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3.排除以上问题后，重新上电，如果故障依然存在，请联系我们。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通信异常（联网模式）</w:t>
            </w:r>
          </w:p>
        </w:tc>
        <w:tc>
          <w:tcPr>
            <w:tcW w:w="1351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充电桩与后台通讯不良</w:t>
            </w:r>
          </w:p>
        </w:tc>
        <w:tc>
          <w:tcPr>
            <w:tcW w:w="6237" w:type="dxa"/>
          </w:tcPr>
          <w:p>
            <w:pPr>
              <w:tabs>
                <w:tab w:val="left" w:pos="684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1.检查网线连接是否正确可靠。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2.后台查看充电桩配置是否确。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3. 如果故障依然存在，请联系我们。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8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充电枪连接异常</w:t>
            </w:r>
          </w:p>
        </w:tc>
        <w:tc>
          <w:tcPr>
            <w:tcW w:w="1351" w:type="dxa"/>
            <w:vMerge w:val="restart"/>
            <w:vAlign w:val="center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充电枪CC/CP连接异常</w:t>
            </w:r>
          </w:p>
        </w:tc>
        <w:tc>
          <w:tcPr>
            <w:tcW w:w="6237" w:type="dxa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1.检查充电枪的连接是否正确可靠。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58" w:type="dxa"/>
            <w:vMerge w:val="continue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1351" w:type="dxa"/>
            <w:vMerge w:val="continue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</w:p>
        </w:tc>
        <w:tc>
          <w:tcPr>
            <w:tcW w:w="6237" w:type="dxa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2. 如果故障依然存在，请联系我们。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58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bookmarkStart w:id="15" w:name="_Toc310235266"/>
            <w:bookmarkStart w:id="16" w:name="_Toc3302640"/>
            <w:bookmarkStart w:id="17" w:name="_Toc4071440"/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黄灯常亮</w:t>
            </w:r>
          </w:p>
        </w:tc>
        <w:tc>
          <w:tcPr>
            <w:tcW w:w="1351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急停故障</w:t>
            </w:r>
          </w:p>
        </w:tc>
        <w:tc>
          <w:tcPr>
            <w:tcW w:w="6237" w:type="dxa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急停按钮顺时针旋转恢复，取消故障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58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黄灯闪1秒一次</w:t>
            </w:r>
          </w:p>
        </w:tc>
        <w:tc>
          <w:tcPr>
            <w:tcW w:w="1351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欠压</w:t>
            </w:r>
          </w:p>
        </w:tc>
        <w:tc>
          <w:tcPr>
            <w:tcW w:w="6237" w:type="dxa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市电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欠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压，断电，重新上电工作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58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黄灯闪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次，黄灯常亮3秒</w:t>
            </w:r>
          </w:p>
        </w:tc>
        <w:tc>
          <w:tcPr>
            <w:tcW w:w="1351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过压</w:t>
            </w:r>
          </w:p>
        </w:tc>
        <w:tc>
          <w:tcPr>
            <w:tcW w:w="6237" w:type="dxa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市电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过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压，断电，重新上电工作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58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黄灯闪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次，黄灯常亮3秒</w:t>
            </w:r>
          </w:p>
        </w:tc>
        <w:tc>
          <w:tcPr>
            <w:tcW w:w="1351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过温</w:t>
            </w:r>
          </w:p>
        </w:tc>
        <w:tc>
          <w:tcPr>
            <w:tcW w:w="6237" w:type="dxa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安装在温度小于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55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度以下环境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58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黄灯闪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次，黄灯常亮3秒</w:t>
            </w:r>
          </w:p>
        </w:tc>
        <w:tc>
          <w:tcPr>
            <w:tcW w:w="1351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过流</w:t>
            </w:r>
          </w:p>
        </w:tc>
        <w:tc>
          <w:tcPr>
            <w:tcW w:w="6237" w:type="dxa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重新拔枪后插枪，自动恢复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58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黄灯闪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次，黄灯常亮3秒</w:t>
            </w:r>
          </w:p>
        </w:tc>
        <w:tc>
          <w:tcPr>
            <w:tcW w:w="1351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继电器拒动</w:t>
            </w:r>
          </w:p>
        </w:tc>
        <w:tc>
          <w:tcPr>
            <w:tcW w:w="6237" w:type="dxa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轻敲击继电器，如无法恢复，返厂维修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58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黄灯闪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次，黄灯常亮3秒</w:t>
            </w:r>
          </w:p>
        </w:tc>
        <w:tc>
          <w:tcPr>
            <w:tcW w:w="1351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继电器粘连</w:t>
            </w:r>
          </w:p>
        </w:tc>
        <w:tc>
          <w:tcPr>
            <w:tcW w:w="6237" w:type="dxa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轻敲击继电器，如无法恢复，返厂维修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58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黄灯闪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次，黄灯常亮3秒</w:t>
            </w:r>
          </w:p>
        </w:tc>
        <w:tc>
          <w:tcPr>
            <w:tcW w:w="1351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计量故障</w:t>
            </w:r>
          </w:p>
        </w:tc>
        <w:tc>
          <w:tcPr>
            <w:tcW w:w="6237" w:type="dxa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返厂维修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58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黄灯闪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次，黄灯常亮3秒</w:t>
            </w:r>
          </w:p>
        </w:tc>
        <w:tc>
          <w:tcPr>
            <w:tcW w:w="1351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充电枪连接故障</w:t>
            </w:r>
          </w:p>
        </w:tc>
        <w:tc>
          <w:tcPr>
            <w:tcW w:w="6237" w:type="dxa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检查充电枪是否松动，拔枪重新插枪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58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黄灯闪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次，黄灯常亮3秒</w:t>
            </w:r>
          </w:p>
        </w:tc>
        <w:tc>
          <w:tcPr>
            <w:tcW w:w="1351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漏电故障</w:t>
            </w:r>
          </w:p>
        </w:tc>
        <w:tc>
          <w:tcPr>
            <w:tcW w:w="6237" w:type="dxa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检查桩接入电线是否有破损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1458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黄灯闪</w:t>
            </w: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次，黄灯常亮3秒</w:t>
            </w:r>
          </w:p>
        </w:tc>
        <w:tc>
          <w:tcPr>
            <w:tcW w:w="1351" w:type="dxa"/>
          </w:tcPr>
          <w:p>
            <w:pPr>
              <w:tabs>
                <w:tab w:val="left" w:pos="6240"/>
              </w:tabs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18"/>
                <w:szCs w:val="18"/>
                <w:lang w:eastAsia="zh-CN"/>
              </w:rPr>
              <w:t>接地故障</w:t>
            </w:r>
          </w:p>
        </w:tc>
        <w:tc>
          <w:tcPr>
            <w:tcW w:w="6237" w:type="dxa"/>
            <w:vAlign w:val="center"/>
          </w:tcPr>
          <w:p>
            <w:pPr>
              <w:tabs>
                <w:tab w:val="left" w:pos="6240"/>
              </w:tabs>
              <w:jc w:val="left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</w:rPr>
              <w:t>检查桩接入电线接地线是否正确连接</w:t>
            </w:r>
          </w:p>
        </w:tc>
      </w:tr>
    </w:tbl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</w:p>
    <w:p>
      <w:pPr>
        <w:pStyle w:val="2"/>
        <w:jc w:val="center"/>
        <w:rPr>
          <w:rFonts w:hint="eastAsia" w:asciiTheme="minorEastAsia" w:hAnsiTheme="minorEastAsia" w:eastAsiaTheme="minorEastAsia" w:cstheme="minorEastAsia"/>
          <w:sz w:val="18"/>
          <w:szCs w:val="18"/>
        </w:rPr>
      </w:pPr>
      <w:bookmarkStart w:id="18" w:name="_Toc6458"/>
      <w:r>
        <w:rPr>
          <w:rFonts w:hint="eastAsia" w:asciiTheme="minorEastAsia" w:hAnsiTheme="minorEastAsia" w:eastAsiaTheme="minorEastAsia" w:cstheme="minorEastAsia"/>
          <w:sz w:val="18"/>
          <w:szCs w:val="18"/>
        </w:rPr>
        <w:t>第四章 维护与保养</w:t>
      </w:r>
      <w:bookmarkEnd w:id="15"/>
      <w:bookmarkEnd w:id="16"/>
      <w:bookmarkEnd w:id="17"/>
      <w:bookmarkEnd w:id="18"/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1、桩体易采用地脚螺栓固定，防止桩体因外界、人为等因素倾斜、抖动。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2、 应对充电桩做好遮阳和防雨措施，室外建议安装遮雨棚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3、定期检查充电桩内所有螺栓是否紧固、连接线有无松动、连接不牢等现象。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4、检查是否有短路现象。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5、检查急停按钮是否为可用状态。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6、注意防雷击，保证充电桩的有效屏蔽和可靠接地。</w:t>
      </w:r>
    </w:p>
    <w:p>
      <w:pPr>
        <w:tabs>
          <w:tab w:val="left" w:pos="6240"/>
        </w:tabs>
        <w:ind w:left="360" w:hanging="270" w:hangingChars="15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7、使用时，尽量控制充电桩的输出电压和电流在标称的范围内，保证充电桩以最大效率的状态工作。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8、桩体停止使用时，应先停止充电输出，然后将电缆绕好，置回原位。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b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b/>
          <w:sz w:val="18"/>
          <w:szCs w:val="18"/>
        </w:rPr>
        <w:t>注意：在充电桩运输过程中，将充电桩包装牢固并标识装卸方向，禁止将充电桩倒置储运；要有相应的紧固措施，避免强烈的振动和颠簸损坏设备的外包装。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bookmarkStart w:id="19" w:name="_Toc4071443"/>
    </w:p>
    <w:p>
      <w:pPr>
        <w:pStyle w:val="2"/>
        <w:jc w:val="center"/>
        <w:rPr>
          <w:rFonts w:hint="eastAsia" w:asciiTheme="minorEastAsia" w:hAnsiTheme="minorEastAsia" w:eastAsiaTheme="minorEastAsia" w:cstheme="minorEastAsia"/>
          <w:sz w:val="18"/>
          <w:szCs w:val="18"/>
        </w:rPr>
      </w:pPr>
      <w:bookmarkStart w:id="20" w:name="_Toc20235"/>
      <w:r>
        <w:rPr>
          <w:rFonts w:hint="eastAsia" w:asciiTheme="minorEastAsia" w:hAnsiTheme="minorEastAsia" w:eastAsiaTheme="minorEastAsia" w:cstheme="minorEastAsia"/>
          <w:sz w:val="18"/>
          <w:szCs w:val="18"/>
        </w:rPr>
        <w:t>第五章 保修条例</w:t>
      </w:r>
      <w:bookmarkEnd w:id="19"/>
      <w:bookmarkEnd w:id="20"/>
    </w:p>
    <w:p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1、本产品保修期为1年。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2、7x24小时客服服务，随时响应。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3、顾客故障问题由厂家技术远程支持，必要时寄回厂家维修。</w:t>
      </w:r>
    </w:p>
    <w:p>
      <w:pPr>
        <w:tabs>
          <w:tab w:val="left" w:pos="6240"/>
        </w:tabs>
        <w:ind w:left="360" w:hanging="270" w:hangingChars="15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4、在保修期间，按照使用说明进行正常使用的状况下产生的故障（由本公司正式工作员工判定），予以免费维修。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5、充电设备除以下问题，均可享受上述相关保修条款：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  5.1 不能够提供本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说明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书及有效购货凭证；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  5.2 超过厂家规定的保修期限的；</w:t>
      </w:r>
    </w:p>
    <w:p>
      <w:pPr>
        <w:tabs>
          <w:tab w:val="left" w:pos="6240"/>
        </w:tabs>
        <w:ind w:left="719" w:leftChars="171" w:hanging="360" w:hangingChars="20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5.3无保修证明及有效发货票</w:t>
      </w:r>
      <w:r>
        <w:rPr>
          <w:rFonts w:hint="eastAsia" w:asciiTheme="minorEastAsia" w:hAnsiTheme="minorEastAsia" w:cstheme="minorEastAsia"/>
          <w:sz w:val="18"/>
          <w:szCs w:val="18"/>
          <w:lang w:eastAsia="zh-CN"/>
        </w:rPr>
        <w:t>据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的，或保修凭证上的内容与修理商品实物标识不符或者涂改的；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  5.4 未按产品使用说明书要求使用、维护、而造成损坏的；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  5.5 有异物进入造成损坏或故障的；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  5.6 非本公司制造的产品而引起故障的；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  5.7 非承担三包修理者拆动造成损坏的；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  5.8 因不可抗力（如雷电、电压过高、地震、火灾、水灾等自然灾害）造成损坏的；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  5.9 其他不可避免的外来因素造成故障及损坏；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  5.10 使用不当导致设备进水或者其他溶液造成的损坏；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  5.11 使用指定以外的电源，电压造成的损坏。</w:t>
      </w:r>
    </w:p>
    <w:p>
      <w:pPr>
        <w:tabs>
          <w:tab w:val="left" w:pos="6240"/>
        </w:tabs>
        <w:ind w:left="360" w:hanging="270" w:hangingChars="150"/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6、仅作以上保证，不作其他任何明示或者默示性的保证（其中包括适销性、对某种特定的与应用的合理性与适应性等的默示保证），不论在合同中、民事过失上、还是其他方面，本公司不对任何特殊的偶尔的或者间接的损害负责。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7、本保证书只在中华人民共和国大陆内有效。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p>
      <w:pPr>
        <w:pStyle w:val="13"/>
        <w:jc w:val="both"/>
        <w:rPr>
          <w:rFonts w:hint="eastAsia" w:ascii="宋体" w:hAnsi="宋体" w:eastAsia="宋体" w:cs="宋体"/>
          <w:b/>
          <w:bCs/>
          <w:sz w:val="18"/>
          <w:szCs w:val="18"/>
          <w:lang w:eastAsia="zh-CN"/>
        </w:rPr>
      </w:pPr>
      <w:r>
        <w:rPr>
          <w:rFonts w:ascii="宋体" w:hAnsi="宋体" w:eastAsia="宋体" w:cs="宋体"/>
          <w:b/>
          <w:bCs/>
          <w:sz w:val="18"/>
          <w:szCs w:val="18"/>
        </w:rPr>
        <w:t>本公司致力于产品的不断改善和功能升级，手册提供资料</w:t>
      </w: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内容</w:t>
      </w:r>
      <w:r>
        <w:rPr>
          <w:rFonts w:ascii="宋体" w:hAnsi="宋体" w:eastAsia="宋体" w:cs="宋体"/>
          <w:b/>
          <w:bCs/>
          <w:sz w:val="18"/>
          <w:szCs w:val="18"/>
        </w:rPr>
        <w:t>如有变更，恕不</w:t>
      </w: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另行</w:t>
      </w:r>
      <w:r>
        <w:rPr>
          <w:rFonts w:ascii="宋体" w:hAnsi="宋体" w:eastAsia="宋体" w:cs="宋体"/>
          <w:b/>
          <w:bCs/>
          <w:sz w:val="18"/>
          <w:szCs w:val="18"/>
        </w:rPr>
        <w:t>通知</w:t>
      </w:r>
      <w:r>
        <w:rPr>
          <w:rFonts w:hint="eastAsia" w:ascii="宋体" w:hAnsi="宋体" w:eastAsia="宋体" w:cs="宋体"/>
          <w:b/>
          <w:bCs/>
          <w:sz w:val="18"/>
          <w:szCs w:val="18"/>
          <w:lang w:eastAsia="zh-CN"/>
        </w:rPr>
        <w:t>。</w:t>
      </w:r>
    </w:p>
    <w:p>
      <w:pPr>
        <w:pStyle w:val="13"/>
        <w:jc w:val="both"/>
        <w:rPr>
          <w:rFonts w:hint="eastAsia" w:ascii="宋体" w:hAnsi="宋体" w:eastAsia="宋体" w:cs="宋体"/>
          <w:b/>
          <w:bCs/>
          <w:sz w:val="18"/>
          <w:szCs w:val="18"/>
          <w:lang w:eastAsia="zh-CN"/>
        </w:rPr>
      </w:pPr>
    </w:p>
    <w:p>
      <w:pPr>
        <w:pStyle w:val="13"/>
        <w:jc w:val="both"/>
        <w:rPr>
          <w:rFonts w:hint="default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版本号：V1.0</w:t>
      </w:r>
    </w:p>
    <w:p>
      <w:pPr>
        <w:tabs>
          <w:tab w:val="left" w:pos="6240"/>
        </w:tabs>
        <w:rPr>
          <w:rFonts w:hint="eastAsia" w:asciiTheme="minorEastAsia" w:hAnsiTheme="minorEastAsia" w:eastAsiaTheme="minorEastAsia" w:cstheme="minorEastAsia"/>
          <w:sz w:val="18"/>
          <w:szCs w:val="18"/>
        </w:rPr>
      </w:pPr>
    </w:p>
    <w:sectPr>
      <w:headerReference r:id="rId3" w:type="default"/>
      <w:footerReference r:id="rId4" w:type="default"/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A4bVggbAgAAIQ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2967990" cy="353060"/>
          <wp:effectExtent l="0" t="0" r="3810" b="8890"/>
          <wp:docPr id="3" name="图片 3" descr="名科logo-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名科logo-black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7990" cy="353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368E9"/>
    <w:multiLevelType w:val="multilevel"/>
    <w:tmpl w:val="629368E9"/>
    <w:lvl w:ilvl="0" w:tentative="0">
      <w:start w:val="5"/>
      <w:numFmt w:val="bullet"/>
      <w:lvlText w:val="※"/>
      <w:lvlJc w:val="left"/>
      <w:pPr>
        <w:ind w:left="360" w:hanging="360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543"/>
    <w:rsid w:val="00104EEF"/>
    <w:rsid w:val="001A335C"/>
    <w:rsid w:val="00243F81"/>
    <w:rsid w:val="002A4543"/>
    <w:rsid w:val="002B1CE4"/>
    <w:rsid w:val="00582A06"/>
    <w:rsid w:val="007009EA"/>
    <w:rsid w:val="007B195A"/>
    <w:rsid w:val="00855486"/>
    <w:rsid w:val="00895A01"/>
    <w:rsid w:val="00906F17"/>
    <w:rsid w:val="009F706D"/>
    <w:rsid w:val="00B44503"/>
    <w:rsid w:val="00B57477"/>
    <w:rsid w:val="00C50A78"/>
    <w:rsid w:val="00C56B28"/>
    <w:rsid w:val="00E42276"/>
    <w:rsid w:val="00E93264"/>
    <w:rsid w:val="05B253F0"/>
    <w:rsid w:val="075A0E7A"/>
    <w:rsid w:val="11F94B34"/>
    <w:rsid w:val="12C80492"/>
    <w:rsid w:val="12E80DA3"/>
    <w:rsid w:val="154D0C92"/>
    <w:rsid w:val="16685D83"/>
    <w:rsid w:val="2874231C"/>
    <w:rsid w:val="2E6C469D"/>
    <w:rsid w:val="361F13D9"/>
    <w:rsid w:val="39B16A73"/>
    <w:rsid w:val="40522E89"/>
    <w:rsid w:val="41C24FFD"/>
    <w:rsid w:val="44C1472D"/>
    <w:rsid w:val="4A404A5E"/>
    <w:rsid w:val="50766CAF"/>
    <w:rsid w:val="537C2F79"/>
    <w:rsid w:val="53E35DB8"/>
    <w:rsid w:val="5BDE4BB6"/>
    <w:rsid w:val="5E026193"/>
    <w:rsid w:val="6138591F"/>
    <w:rsid w:val="66036C2A"/>
    <w:rsid w:val="678E367E"/>
    <w:rsid w:val="70D70ADB"/>
    <w:rsid w:val="7146270A"/>
    <w:rsid w:val="73BB73A4"/>
    <w:rsid w:val="77320F17"/>
    <w:rsid w:val="7A1B09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qFormat/>
    <w:uiPriority w:val="0"/>
    <w:pPr>
      <w:ind w:left="840" w:leftChars="400"/>
    </w:pPr>
  </w:style>
  <w:style w:type="paragraph" w:styleId="5">
    <w:name w:val="Balloon Text"/>
    <w:basedOn w:val="1"/>
    <w:link w:val="18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2">
    <w:name w:val="Table Grid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eastAsia="黑体" w:cs="黑体" w:hAnsiTheme="minorHAnsi"/>
      <w:color w:val="000000"/>
      <w:sz w:val="24"/>
      <w:szCs w:val="24"/>
      <w:lang w:val="en-US" w:eastAsia="zh-CN" w:bidi="ar-SA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7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8">
    <w:name w:val="批注框文本 Char"/>
    <w:basedOn w:val="10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5471</Words>
  <Characters>6126</Characters>
  <Lines>50</Lines>
  <Paragraphs>14</Paragraphs>
  <TotalTime>0</TotalTime>
  <ScaleCrop>false</ScaleCrop>
  <LinksUpToDate>false</LinksUpToDate>
  <CharactersWithSpaces>6279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2022-02-17T08:42:00Z</dcterms:created>
  <dc:creator>erinT</dc:creator>
  <cp:lastModifiedBy>yunying</cp:lastModifiedBy>
  <dcterms:modified xsi:type="dcterms:W3CDTF">2022-10-29T03:26:23Z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DAD5B83B6039459A8A08648C9B185929</vt:lpwstr>
  </property>
</Properties>
</file>